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37600CAD" w:rsidR="0057489D" w:rsidRPr="0057489D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1B07D9">
              <w:rPr>
                <w:rFonts w:ascii="Times New Roman" w:hAnsi="Times New Roman" w:cs="Times New Roman"/>
              </w:rPr>
              <w:t>Nekustamā īpašuma</w:t>
            </w:r>
            <w:r w:rsidRPr="001B07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1B07D9">
              <w:rPr>
                <w:rFonts w:ascii="Times New Roman" w:eastAsia="Calibri" w:hAnsi="Times New Roman" w:cs="Times New Roman"/>
                <w:b/>
                <w:bCs/>
              </w:rPr>
              <w:t>Rīgā, Rankas ielā 5a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476E30">
              <w:rPr>
                <w:rFonts w:ascii="Times New Roman" w:eastAsia="Calibri" w:hAnsi="Times New Roman" w:cs="Times New Roman"/>
              </w:rPr>
              <w:t>(kadastra Nr. 0100 013 0115)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>nedzīvojamā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476E30" w:rsidRPr="00476E30">
              <w:rPr>
                <w:rFonts w:ascii="Times New Roman" w:eastAsia="Calibri" w:hAnsi="Times New Roman" w:cs="Times New Roman"/>
                <w:b/>
                <w:bCs/>
              </w:rPr>
              <w:t>– biroja</w:t>
            </w:r>
            <w:r w:rsidR="00476E30">
              <w:rPr>
                <w:rFonts w:ascii="Times New Roman" w:eastAsia="Calibri" w:hAnsi="Times New Roman" w:cs="Times New Roman"/>
              </w:rPr>
              <w:t xml:space="preserve"> 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 xml:space="preserve">telpa Nr. </w:t>
            </w:r>
            <w:r w:rsidR="00476E30">
              <w:rPr>
                <w:rFonts w:ascii="Times New Roman" w:eastAsia="Calibri" w:hAnsi="Times New Roman" w:cs="Times New Roman"/>
                <w:b/>
                <w:bCs/>
              </w:rPr>
              <w:t>12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747284" w:rsidRPr="002220D1">
              <w:rPr>
                <w:rFonts w:ascii="Times New Roman" w:eastAsia="Calibri" w:hAnsi="Times New Roman" w:cs="Times New Roman"/>
              </w:rPr>
              <w:t>(būves kadastra apzīmējums 0100 013 0115 00</w:t>
            </w:r>
            <w:r w:rsidR="00747284">
              <w:rPr>
                <w:rFonts w:ascii="Times New Roman" w:eastAsia="Calibri" w:hAnsi="Times New Roman" w:cs="Times New Roman"/>
              </w:rPr>
              <w:t>1</w:t>
            </w:r>
            <w:r w:rsidR="00747284" w:rsidRPr="002220D1">
              <w:rPr>
                <w:rFonts w:ascii="Times New Roman" w:eastAsia="Calibri" w:hAnsi="Times New Roman" w:cs="Times New Roman"/>
              </w:rPr>
              <w:t>)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>. stāvā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185352">
              <w:rPr>
                <w:rFonts w:ascii="Times New Roman" w:eastAsia="Calibri" w:hAnsi="Times New Roman" w:cs="Times New Roman"/>
                <w:b/>
                <w:bCs/>
              </w:rPr>
              <w:t>109,8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57489D">
              <w:rPr>
                <w:rFonts w:ascii="Times New Roman" w:eastAsia="Calibri" w:hAnsi="Times New Roman" w:cs="Times New Roman"/>
              </w:rPr>
              <w:t xml:space="preserve"> </w:t>
            </w:r>
            <w:r w:rsidRPr="00747284">
              <w:rPr>
                <w:rFonts w:ascii="Times New Roman" w:eastAsia="Calibri" w:hAnsi="Times New Roman" w:cs="Times New Roman"/>
              </w:rPr>
              <w:t>(</w:t>
            </w:r>
            <w:r w:rsidR="00185352">
              <w:rPr>
                <w:rFonts w:ascii="Times New Roman" w:eastAsia="Calibri" w:hAnsi="Times New Roman" w:cs="Times New Roman"/>
              </w:rPr>
              <w:t>viens simts</w:t>
            </w:r>
            <w:r w:rsidR="00747284" w:rsidRPr="00747284">
              <w:rPr>
                <w:rFonts w:ascii="Times New Roman" w:eastAsia="Calibri" w:hAnsi="Times New Roman" w:cs="Times New Roman"/>
              </w:rPr>
              <w:t xml:space="preserve"> </w:t>
            </w:r>
            <w:r w:rsidR="00185352">
              <w:rPr>
                <w:rFonts w:ascii="Times New Roman" w:eastAsia="Calibri" w:hAnsi="Times New Roman" w:cs="Times New Roman"/>
              </w:rPr>
              <w:t>deviņi</w:t>
            </w:r>
            <w:r w:rsidRPr="00747284">
              <w:rPr>
                <w:rFonts w:ascii="Times New Roman" w:eastAsia="Calibri" w:hAnsi="Times New Roman" w:cs="Times New Roman"/>
              </w:rPr>
              <w:t xml:space="preserve"> komats </w:t>
            </w:r>
            <w:r w:rsidR="00185352">
              <w:rPr>
                <w:rFonts w:ascii="Times New Roman" w:eastAsia="Calibri" w:hAnsi="Times New Roman" w:cs="Times New Roman"/>
              </w:rPr>
              <w:t>astoņi</w:t>
            </w:r>
            <w:r w:rsidRPr="00747284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747284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4478FE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Darbnīcas. Nedzīvojamo ēku palīgēkas.</w:t>
            </w:r>
          </w:p>
        </w:tc>
      </w:tr>
      <w:tr w:rsidR="00747284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747284" w:rsidRPr="00223A1F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47284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  <w:p w14:paraId="17EEC43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1F4421D6" w:rsidR="00747284" w:rsidRPr="00B77672" w:rsidRDefault="00747284" w:rsidP="00747284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 Nr. </w:t>
            </w:r>
            <w:r w:rsidR="00185352">
              <w:rPr>
                <w:rFonts w:ascii="Times New Roman" w:hAnsi="Times New Roman" w:cs="Times New Roman"/>
                <w:b/>
                <w:bCs/>
              </w:rPr>
              <w:t>12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3,61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trīs</w:t>
            </w:r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>euro</w:t>
            </w:r>
            <w:proofErr w:type="spellEnd"/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61</w:t>
            </w:r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s</w:t>
            </w:r>
            <w:r w:rsidRPr="004C33B5">
              <w:rPr>
                <w:rFonts w:ascii="Times New Roman" w:hAnsi="Times New Roman" w:cs="Times New Roman"/>
                <w:u w:val="single"/>
              </w:rPr>
              <w:t>) bez pievienotās vērtības nodokļa/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m2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6753FE74" w:rsidR="00747284" w:rsidRPr="0057489D" w:rsidRDefault="00747284" w:rsidP="00747284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3,34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18535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63034BF1" w14:textId="0E3BBA71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1085594F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66BFEFBB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6C5CD670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409B6A0B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253FFC71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B550C83" w:rsidR="00747284" w:rsidRPr="00286C44" w:rsidRDefault="00747284" w:rsidP="00747284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18535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747284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12DC670F" w:rsidR="00747284" w:rsidRPr="00747284" w:rsidRDefault="00747284" w:rsidP="007472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7284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pakalpojumiem: par siltumenerģiju, ūdensapgādes un kanalizācijas (tajā skaitā lietus notekūdeņu – ja attiecās) pakalpojumu nodrošināšanu</w:t>
            </w:r>
            <w:r w:rsidR="00185352">
              <w:rPr>
                <w:rFonts w:ascii="Times New Roman" w:eastAsia="Calibri" w:hAnsi="Times New Roman" w:cs="Times New Roman"/>
              </w:rPr>
              <w:t xml:space="preserve"> un</w:t>
            </w:r>
            <w:r w:rsidRPr="00747284">
              <w:rPr>
                <w:rFonts w:ascii="Times New Roman" w:eastAsia="Calibri" w:hAnsi="Times New Roman" w:cs="Times New Roman"/>
              </w:rPr>
              <w:t xml:space="preserve"> atkritumu izvešanu faktisko izmaksu apmērā proporcionāli aizņemtajai telpu platībai</w:t>
            </w:r>
            <w:r w:rsidR="00185352">
              <w:rPr>
                <w:rFonts w:ascii="Times New Roman" w:eastAsia="Calibri" w:hAnsi="Times New Roman" w:cs="Times New Roman"/>
              </w:rPr>
              <w:t>,</w:t>
            </w:r>
            <w:r w:rsidRPr="00747284">
              <w:rPr>
                <w:rFonts w:ascii="Times New Roman" w:eastAsia="Calibri" w:hAnsi="Times New Roman" w:cs="Times New Roman"/>
              </w:rPr>
              <w:t xml:space="preserve"> un elektroenerģiju  pēc kontrolskaitītāju rādījumiem, saskaņā ar Iznomātāja izrakstītajiem rēķiniem.</w:t>
            </w:r>
          </w:p>
        </w:tc>
      </w:tr>
      <w:tr w:rsidR="00747284" w14:paraId="3D31A8F7" w14:textId="77777777" w:rsidTr="00482AD0">
        <w:tc>
          <w:tcPr>
            <w:tcW w:w="704" w:type="dxa"/>
          </w:tcPr>
          <w:p w14:paraId="41B0AD2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4728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747284" w:rsidRPr="00F94C75" w:rsidRDefault="00747284" w:rsidP="00747284">
            <w:pPr>
              <w:jc w:val="both"/>
              <w:rPr>
                <w:rFonts w:ascii="Times New Roman" w:hAnsi="Times New Roman"/>
              </w:rPr>
            </w:pPr>
          </w:p>
        </w:tc>
      </w:tr>
      <w:tr w:rsidR="0074728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4728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13C1C4BB" w:rsidR="00747284" w:rsidRPr="007D4C83" w:rsidRDefault="00185352" w:rsidP="00747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747284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74728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</w:t>
            </w:r>
            <w:r w:rsidRPr="008322E8">
              <w:rPr>
                <w:rFonts w:ascii="Times New Roman" w:hAnsi="Times New Roman" w:cs="Times New Roman"/>
              </w:rPr>
              <w:lastRenderedPageBreak/>
              <w:t xml:space="preserve">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lastRenderedPageBreak/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747284" w:rsidRDefault="00747284" w:rsidP="0074728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28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320C48BC" w:rsidR="00747284" w:rsidRPr="00A250DC" w:rsidRDefault="00747284" w:rsidP="007472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18535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74728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747284" w:rsidRPr="00AB04C8" w:rsidRDefault="00747284" w:rsidP="0074728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4728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747284" w:rsidRPr="00871CD5" w:rsidRDefault="00747284" w:rsidP="007472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47284" w14:paraId="47382153" w14:textId="77777777" w:rsidTr="00482AD0">
        <w:tc>
          <w:tcPr>
            <w:tcW w:w="704" w:type="dxa"/>
          </w:tcPr>
          <w:p w14:paraId="07AAD6B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47284" w14:paraId="4637A53C" w14:textId="77777777" w:rsidTr="00482AD0">
        <w:tc>
          <w:tcPr>
            <w:tcW w:w="704" w:type="dxa"/>
          </w:tcPr>
          <w:p w14:paraId="4F63438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5089AD8C" w:rsidR="00747284" w:rsidRPr="00A250DC" w:rsidRDefault="00747284" w:rsidP="0074728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185352">
              <w:rPr>
                <w:rFonts w:ascii="Times New Roman" w:hAnsi="Times New Roman" w:cs="Times New Roman"/>
                <w:b/>
                <w:bCs/>
              </w:rPr>
              <w:t>4. decembris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85352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185352" w:rsidRPr="008322E8" w:rsidRDefault="00185352" w:rsidP="00185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2EBB45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37D32BE5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B47C443" w14:textId="63FB21DB" w:rsidR="00185352" w:rsidRPr="007D4657" w:rsidRDefault="00185352" w:rsidP="001853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4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decembrī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4B411089" w14:textId="09D0E0AC" w:rsidR="00185352" w:rsidRPr="007E3B7D" w:rsidRDefault="00185352" w:rsidP="0018535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2025. gada 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>
              <w:rPr>
                <w:rFonts w:ascii="Times New Roman" w:hAnsi="Times New Roman" w:cs="Times New Roman"/>
                <w:i/>
                <w:iCs/>
              </w:rPr>
              <w:t>decembrim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>
              <w:rPr>
                <w:rFonts w:ascii="Times New Roman" w:hAnsi="Times New Roman" w:cs="Times New Roman"/>
                <w:i/>
                <w:iCs/>
              </w:rPr>
              <w:t>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1A243B94" w:rsidR="00185352" w:rsidRPr="008322E8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85352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3B71283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314E1098" w14:textId="77777777" w:rsidR="00185352" w:rsidRPr="00571157" w:rsidRDefault="00185352" w:rsidP="00185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1ADF6B5E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826A7F4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E05F4F6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5593597B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0DCB4E7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E14C700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7E2336F8" w14:textId="77777777" w:rsidR="00185352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2800BE8F" w14:textId="77777777" w:rsidR="00185352" w:rsidRPr="00B9160E" w:rsidRDefault="00185352" w:rsidP="001853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9B2E2B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3F4706A1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22D6349E" w:rsidR="00185352" w:rsidRPr="0057171E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39C05E02" w14:textId="77777777" w:rsidTr="00482AD0">
        <w:tc>
          <w:tcPr>
            <w:tcW w:w="704" w:type="dxa"/>
          </w:tcPr>
          <w:p w14:paraId="3AF0614C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47284" w14:paraId="7806841D" w14:textId="77777777" w:rsidTr="00482AD0">
        <w:tc>
          <w:tcPr>
            <w:tcW w:w="704" w:type="dxa"/>
          </w:tcPr>
          <w:p w14:paraId="23E3459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9A5B46B" w:rsidR="00747284" w:rsidRPr="00B77672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r w:rsidR="00D23001">
              <w:rPr>
                <w:rFonts w:ascii="Times New Roman" w:hAnsi="Times New Roman" w:cs="Times New Roman"/>
              </w:rPr>
              <w:t>Rankas ielā 5a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747284" w:rsidRPr="004505D5" w:rsidRDefault="00747284" w:rsidP="0074728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747284" w:rsidRPr="008322E8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44389"/>
    <w:rsid w:val="00185352"/>
    <w:rsid w:val="00361C73"/>
    <w:rsid w:val="00437AE5"/>
    <w:rsid w:val="00476E30"/>
    <w:rsid w:val="0057489D"/>
    <w:rsid w:val="00747284"/>
    <w:rsid w:val="007B256A"/>
    <w:rsid w:val="007D4180"/>
    <w:rsid w:val="00A84393"/>
    <w:rsid w:val="00AA0EE3"/>
    <w:rsid w:val="00AA5E2D"/>
    <w:rsid w:val="00CD60C0"/>
    <w:rsid w:val="00D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5063</Words>
  <Characters>2887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4</cp:revision>
  <dcterms:created xsi:type="dcterms:W3CDTF">2025-01-20T12:29:00Z</dcterms:created>
  <dcterms:modified xsi:type="dcterms:W3CDTF">2025-11-26T12:52:00Z</dcterms:modified>
</cp:coreProperties>
</file>